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4D11" w:rsidRPr="0007750C" w:rsidRDefault="006E4D11" w:rsidP="006E4D11">
      <w:pPr>
        <w:pStyle w:val="paragraph"/>
        <w:spacing w:before="0" w:beforeAutospacing="0" w:after="0" w:afterAutospacing="0" w:line="360" w:lineRule="auto"/>
        <w:jc w:val="both"/>
        <w:rPr>
          <w:rFonts w:ascii="Arial" w:hAnsi="Arial"/>
          <w:b/>
          <w:kern w:val="24"/>
          <w:sz w:val="20"/>
        </w:rPr>
      </w:pPr>
      <w:r w:rsidRPr="0007750C">
        <w:rPr>
          <w:rFonts w:ascii="Arial" w:hAnsi="Arial"/>
          <w:b/>
          <w:kern w:val="24"/>
          <w:sz w:val="20"/>
        </w:rPr>
        <w:t>Instrukcja</w:t>
      </w:r>
    </w:p>
    <w:p w:rsidR="006E4D11" w:rsidRPr="0007750C" w:rsidRDefault="006E4D11" w:rsidP="006E4D11">
      <w:pPr>
        <w:pStyle w:val="paragraph"/>
        <w:spacing w:before="0" w:beforeAutospacing="0" w:after="0" w:afterAutospacing="0" w:line="360" w:lineRule="auto"/>
        <w:jc w:val="both"/>
        <w:rPr>
          <w:rFonts w:ascii="Arial" w:hAnsi="Arial"/>
          <w:b/>
          <w:sz w:val="20"/>
        </w:rPr>
      </w:pPr>
      <w:r w:rsidRPr="0007750C">
        <w:rPr>
          <w:rFonts w:ascii="Arial" w:hAnsi="Arial"/>
          <w:b/>
          <w:sz w:val="20"/>
        </w:rPr>
        <w:t xml:space="preserve">Galanteria skórzana damska i męska w kosztach firmy </w:t>
      </w:r>
    </w:p>
    <w:p w:rsidR="006E4D11" w:rsidRPr="0007750C" w:rsidRDefault="006E4D11" w:rsidP="006E4D11">
      <w:pPr>
        <w:pStyle w:val="paragraph"/>
        <w:spacing w:before="0" w:beforeAutospacing="0" w:after="0" w:afterAutospacing="0" w:line="360" w:lineRule="auto"/>
        <w:jc w:val="both"/>
        <w:rPr>
          <w:rFonts w:ascii="Arial" w:hAnsi="Arial"/>
          <w:sz w:val="20"/>
        </w:rPr>
      </w:pPr>
      <w:r w:rsidRPr="0007750C">
        <w:rPr>
          <w:rFonts w:ascii="Arial" w:hAnsi="Arial"/>
          <w:sz w:val="20"/>
        </w:rPr>
        <w:t>Luiza Pieprzyk</w:t>
      </w:r>
    </w:p>
    <w:p w:rsidR="006E4D11" w:rsidRDefault="006E4D11" w:rsidP="006E4D11">
      <w:pPr>
        <w:pStyle w:val="paragraph"/>
        <w:spacing w:before="0" w:beforeAutospacing="0" w:after="0" w:afterAutospacing="0" w:line="360" w:lineRule="auto"/>
        <w:jc w:val="both"/>
        <w:rPr>
          <w:rFonts w:ascii="Arial" w:hAnsi="Arial" w:cs="Arial"/>
          <w:sz w:val="20"/>
          <w:szCs w:val="20"/>
        </w:rPr>
      </w:pPr>
    </w:p>
    <w:p w:rsidR="006E4D11" w:rsidRPr="0007750C" w:rsidRDefault="006E4D11" w:rsidP="006E4D11">
      <w:pPr>
        <w:pStyle w:val="paragraph"/>
        <w:spacing w:before="0" w:beforeAutospacing="0" w:after="0" w:afterAutospacing="0" w:line="360" w:lineRule="auto"/>
        <w:jc w:val="both"/>
        <w:rPr>
          <w:rFonts w:ascii="Arial" w:hAnsi="Arial"/>
          <w:sz w:val="20"/>
        </w:rPr>
      </w:pPr>
      <w:r w:rsidRPr="0007750C">
        <w:rPr>
          <w:rFonts w:ascii="Arial" w:hAnsi="Arial"/>
          <w:sz w:val="20"/>
        </w:rPr>
        <w:t>Podatnicy pytają, czy</w:t>
      </w:r>
      <w:r w:rsidRPr="0007750C">
        <w:rPr>
          <w:rFonts w:ascii="Arial" w:hAnsi="Arial"/>
          <w:b/>
          <w:sz w:val="20"/>
        </w:rPr>
        <w:t xml:space="preserve"> </w:t>
      </w:r>
      <w:r w:rsidRPr="0007750C">
        <w:rPr>
          <w:rStyle w:val="Pogrubienie"/>
          <w:rFonts w:ascii="Arial" w:hAnsi="Arial"/>
          <w:b w:val="0"/>
          <w:sz w:val="20"/>
        </w:rPr>
        <w:t>zakup dla dyrektora finansowego torby skórzanej do przenoszenia dokumentów można rozliczyć w</w:t>
      </w:r>
      <w:r>
        <w:rPr>
          <w:rStyle w:val="Pogrubienie"/>
          <w:rFonts w:ascii="Arial" w:hAnsi="Arial" w:cs="Arial"/>
          <w:sz w:val="20"/>
          <w:szCs w:val="20"/>
        </w:rPr>
        <w:t xml:space="preserve"> </w:t>
      </w:r>
      <w:r w:rsidRPr="0007750C">
        <w:rPr>
          <w:rStyle w:val="Pogrubienie"/>
          <w:rFonts w:ascii="Arial" w:hAnsi="Arial"/>
          <w:b w:val="0"/>
          <w:sz w:val="20"/>
        </w:rPr>
        <w:t xml:space="preserve">kosztach uzyskania przychodów i odliczyć podatek VAT. </w:t>
      </w:r>
      <w:r w:rsidRPr="0007750C">
        <w:rPr>
          <w:rFonts w:ascii="Arial" w:hAnsi="Arial"/>
          <w:sz w:val="20"/>
        </w:rPr>
        <w:t>Aby podatnik mógł dany wydatek rozliczyć w</w:t>
      </w:r>
      <w:r>
        <w:rPr>
          <w:rFonts w:ascii="Arial" w:hAnsi="Arial" w:cs="Arial"/>
          <w:sz w:val="20"/>
          <w:szCs w:val="20"/>
        </w:rPr>
        <w:t xml:space="preserve"> </w:t>
      </w:r>
      <w:r w:rsidRPr="0007750C">
        <w:rPr>
          <w:rFonts w:ascii="Arial" w:hAnsi="Arial"/>
          <w:sz w:val="20"/>
        </w:rPr>
        <w:t>kosztach podatkowych, musi wykazać, że jest on związany z</w:t>
      </w:r>
      <w:r>
        <w:rPr>
          <w:rFonts w:ascii="Arial" w:hAnsi="Arial" w:cs="Arial"/>
          <w:sz w:val="20"/>
          <w:szCs w:val="20"/>
        </w:rPr>
        <w:t xml:space="preserve"> </w:t>
      </w:r>
      <w:r w:rsidRPr="0007750C">
        <w:rPr>
          <w:rFonts w:ascii="Arial" w:hAnsi="Arial"/>
          <w:sz w:val="20"/>
        </w:rPr>
        <w:t>prowadzoną działalnością i</w:t>
      </w:r>
      <w:r>
        <w:rPr>
          <w:rFonts w:ascii="Arial" w:hAnsi="Arial" w:cs="Arial"/>
          <w:sz w:val="20"/>
          <w:szCs w:val="20"/>
        </w:rPr>
        <w:t xml:space="preserve"> </w:t>
      </w:r>
      <w:r w:rsidRPr="0007750C">
        <w:rPr>
          <w:rFonts w:ascii="Arial" w:hAnsi="Arial"/>
          <w:sz w:val="20"/>
        </w:rPr>
        <w:t>uzyskiwanymi przychodami, a</w:t>
      </w:r>
      <w:r>
        <w:rPr>
          <w:rFonts w:ascii="Arial" w:hAnsi="Arial" w:cs="Arial"/>
          <w:sz w:val="20"/>
          <w:szCs w:val="20"/>
        </w:rPr>
        <w:t xml:space="preserve"> </w:t>
      </w:r>
      <w:r w:rsidRPr="0007750C">
        <w:rPr>
          <w:rFonts w:ascii="Arial" w:hAnsi="Arial"/>
          <w:sz w:val="20"/>
        </w:rPr>
        <w:t>także racjonalny i</w:t>
      </w:r>
      <w:r>
        <w:rPr>
          <w:rFonts w:ascii="Arial" w:hAnsi="Arial" w:cs="Arial"/>
          <w:sz w:val="20"/>
          <w:szCs w:val="20"/>
        </w:rPr>
        <w:t xml:space="preserve"> </w:t>
      </w:r>
      <w:r w:rsidRPr="0007750C">
        <w:rPr>
          <w:rFonts w:ascii="Arial" w:hAnsi="Arial"/>
          <w:sz w:val="20"/>
        </w:rPr>
        <w:t>gospodarczo uzasadniony z</w:t>
      </w:r>
      <w:r>
        <w:rPr>
          <w:rFonts w:ascii="Arial" w:hAnsi="Arial" w:cs="Arial"/>
          <w:sz w:val="20"/>
          <w:szCs w:val="20"/>
        </w:rPr>
        <w:t xml:space="preserve"> </w:t>
      </w:r>
      <w:r w:rsidRPr="0007750C">
        <w:rPr>
          <w:rFonts w:ascii="Arial" w:hAnsi="Arial"/>
          <w:sz w:val="20"/>
        </w:rPr>
        <w:t xml:space="preserve">punktu widzenia tej działalności. To, czy poniesiony wydatek spełnia takie przesłanki, należy ocenić, biorąc pod uwagę okoliczności faktyczne danej sprawy, które wymagają indywidualnej oceny. </w:t>
      </w:r>
      <w:r w:rsidRPr="0007750C">
        <w:rPr>
          <w:rFonts w:ascii="Arial" w:eastAsiaTheme="minorHAnsi" w:hAnsi="Arial"/>
          <w:sz w:val="20"/>
        </w:rPr>
        <w:t>Większość specjalistów uważa, iż rozliczenie w</w:t>
      </w:r>
      <w:r>
        <w:rPr>
          <w:rFonts w:ascii="Arial" w:eastAsiaTheme="minorHAnsi" w:hAnsi="Arial" w:cs="Arial"/>
          <w:sz w:val="20"/>
          <w:szCs w:val="20"/>
          <w:lang w:eastAsia="en-US"/>
        </w:rPr>
        <w:t xml:space="preserve"> </w:t>
      </w:r>
      <w:r w:rsidRPr="0007750C">
        <w:rPr>
          <w:rFonts w:ascii="Arial" w:eastAsiaTheme="minorHAnsi" w:hAnsi="Arial"/>
          <w:sz w:val="20"/>
        </w:rPr>
        <w:t>kosztach uzyskania przychodów wydatku na zakup skórzanej torby dla dyrektora finansowego przedsiębiorstwa jest ryzykowne. Taka możliwość zależy od tego, jakiego rodzaju jest to torba i</w:t>
      </w:r>
      <w:r>
        <w:rPr>
          <w:rFonts w:ascii="Arial" w:eastAsiaTheme="minorHAnsi" w:hAnsi="Arial" w:cs="Arial"/>
          <w:sz w:val="20"/>
          <w:szCs w:val="20"/>
          <w:lang w:eastAsia="en-US"/>
        </w:rPr>
        <w:t xml:space="preserve"> </w:t>
      </w:r>
      <w:r w:rsidRPr="0007750C">
        <w:rPr>
          <w:rFonts w:ascii="Arial" w:eastAsiaTheme="minorHAnsi" w:hAnsi="Arial"/>
          <w:sz w:val="20"/>
        </w:rPr>
        <w:t>w</w:t>
      </w:r>
      <w:r>
        <w:rPr>
          <w:rFonts w:ascii="Arial" w:eastAsiaTheme="minorHAnsi" w:hAnsi="Arial" w:cs="Arial"/>
          <w:sz w:val="20"/>
          <w:szCs w:val="20"/>
          <w:lang w:eastAsia="en-US"/>
        </w:rPr>
        <w:t xml:space="preserve"> </w:t>
      </w:r>
      <w:r w:rsidRPr="0007750C">
        <w:rPr>
          <w:rFonts w:ascii="Arial" w:eastAsiaTheme="minorHAnsi" w:hAnsi="Arial"/>
          <w:sz w:val="20"/>
        </w:rPr>
        <w:t>jakich celach może być wykorzystywana. Niewątpliwie dokumentacja firmowa wymaga przechowywania, ale także i</w:t>
      </w:r>
      <w:r>
        <w:rPr>
          <w:rFonts w:ascii="Arial" w:eastAsiaTheme="minorHAnsi" w:hAnsi="Arial" w:cs="Arial"/>
          <w:sz w:val="20"/>
          <w:szCs w:val="20"/>
          <w:lang w:eastAsia="en-US"/>
        </w:rPr>
        <w:t xml:space="preserve"> </w:t>
      </w:r>
      <w:r w:rsidRPr="0007750C">
        <w:rPr>
          <w:rFonts w:ascii="Arial" w:eastAsiaTheme="minorHAnsi" w:hAnsi="Arial"/>
          <w:sz w:val="20"/>
        </w:rPr>
        <w:t>przenoszenia w</w:t>
      </w:r>
      <w:r>
        <w:rPr>
          <w:rFonts w:ascii="Arial" w:eastAsiaTheme="minorHAnsi" w:hAnsi="Arial" w:cs="Arial"/>
          <w:sz w:val="20"/>
          <w:szCs w:val="20"/>
          <w:lang w:eastAsia="en-US"/>
        </w:rPr>
        <w:t xml:space="preserve"> </w:t>
      </w:r>
      <w:r w:rsidRPr="0007750C">
        <w:rPr>
          <w:rFonts w:ascii="Arial" w:eastAsiaTheme="minorHAnsi" w:hAnsi="Arial"/>
          <w:sz w:val="20"/>
        </w:rPr>
        <w:t>warunkach chroniących ją przed zgubieniem czy zniszczeniem. Nie jest to jednak wystarczająca przesłanka, aby wydatek na zakup torby skórzanej do przenoszenia dokumentów zaliczyć do kosztów podatkowych.</w:t>
      </w:r>
      <w:r w:rsidRPr="0007750C">
        <w:rPr>
          <w:rFonts w:ascii="Arial" w:hAnsi="Arial"/>
          <w:sz w:val="20"/>
        </w:rPr>
        <w:t xml:space="preserve"> </w:t>
      </w:r>
      <w:r w:rsidRPr="0007750C">
        <w:rPr>
          <w:rFonts w:ascii="Arial" w:eastAsiaTheme="minorHAnsi" w:hAnsi="Arial"/>
          <w:sz w:val="20"/>
        </w:rPr>
        <w:t>Takie okoliczności zazwyczaj nie przesądzają o</w:t>
      </w:r>
      <w:r>
        <w:rPr>
          <w:rFonts w:ascii="Arial" w:eastAsiaTheme="minorHAnsi" w:hAnsi="Arial" w:cs="Arial"/>
          <w:sz w:val="20"/>
          <w:szCs w:val="20"/>
          <w:lang w:eastAsia="en-US"/>
        </w:rPr>
        <w:t xml:space="preserve"> </w:t>
      </w:r>
      <w:r w:rsidRPr="0007750C">
        <w:rPr>
          <w:rFonts w:ascii="Arial" w:eastAsiaTheme="minorHAnsi" w:hAnsi="Arial"/>
          <w:sz w:val="20"/>
        </w:rPr>
        <w:t>tym, że jest to wydatek związany z</w:t>
      </w:r>
      <w:r>
        <w:rPr>
          <w:rFonts w:ascii="Arial" w:eastAsiaTheme="minorHAnsi" w:hAnsi="Arial" w:cs="Arial"/>
          <w:sz w:val="20"/>
          <w:szCs w:val="20"/>
          <w:lang w:eastAsia="en-US"/>
        </w:rPr>
        <w:t xml:space="preserve"> </w:t>
      </w:r>
      <w:r w:rsidRPr="0007750C">
        <w:rPr>
          <w:rFonts w:ascii="Arial" w:eastAsiaTheme="minorHAnsi" w:hAnsi="Arial"/>
          <w:sz w:val="20"/>
        </w:rPr>
        <w:t>prowadzoną działalnością i</w:t>
      </w:r>
      <w:r>
        <w:rPr>
          <w:rFonts w:ascii="Arial" w:eastAsiaTheme="minorHAnsi" w:hAnsi="Arial" w:cs="Arial"/>
          <w:sz w:val="20"/>
          <w:szCs w:val="20"/>
          <w:lang w:eastAsia="en-US"/>
        </w:rPr>
        <w:t xml:space="preserve"> </w:t>
      </w:r>
      <w:r w:rsidRPr="0007750C">
        <w:rPr>
          <w:rFonts w:ascii="Arial" w:eastAsiaTheme="minorHAnsi" w:hAnsi="Arial"/>
          <w:sz w:val="20"/>
        </w:rPr>
        <w:t>osiąganymi przychodami. Dla uznania wydatku na zakup torby za firmowy koszt istotne jest, czy tego rodzaju galanteria skórzana może być wykorzystywana przez dyrektora wyłącznie do celów firmowych, czy też może on jej używać do celów prywatnych. W tym celu ważne</w:t>
      </w:r>
      <w:r w:rsidRPr="0072671D">
        <w:rPr>
          <w:rFonts w:ascii="Arial" w:eastAsiaTheme="minorHAnsi" w:hAnsi="Arial" w:cs="Arial"/>
          <w:sz w:val="20"/>
          <w:szCs w:val="20"/>
          <w:lang w:eastAsia="en-US"/>
        </w:rPr>
        <w:t xml:space="preserve"> </w:t>
      </w:r>
      <w:r w:rsidRPr="006E4822">
        <w:rPr>
          <w:rFonts w:ascii="Arial" w:eastAsiaTheme="minorHAnsi" w:hAnsi="Arial" w:cs="Arial"/>
          <w:sz w:val="20"/>
          <w:szCs w:val="20"/>
          <w:lang w:eastAsia="en-US"/>
        </w:rPr>
        <w:t>jest</w:t>
      </w:r>
      <w:r w:rsidRPr="0007750C">
        <w:rPr>
          <w:rFonts w:ascii="Arial" w:eastAsiaTheme="minorHAnsi" w:hAnsi="Arial"/>
          <w:sz w:val="20"/>
        </w:rPr>
        <w:t xml:space="preserve">, aby wykazać, że dyrektor finansowy bywa na spotkaniach poza firmą, spotyka się z kontrahentami, urzędnikami wszelkich instytucji, podróżuje. </w:t>
      </w:r>
    </w:p>
    <w:p w:rsidR="006E4D11" w:rsidRDefault="006E4D11" w:rsidP="006E4D11">
      <w:pPr>
        <w:pStyle w:val="paragraph"/>
        <w:spacing w:before="0" w:beforeAutospacing="0" w:after="0" w:afterAutospacing="0" w:line="360" w:lineRule="auto"/>
        <w:jc w:val="both"/>
        <w:rPr>
          <w:rFonts w:ascii="Arial" w:eastAsiaTheme="minorHAnsi" w:hAnsi="Arial" w:cs="Arial"/>
          <w:b/>
          <w:sz w:val="20"/>
          <w:szCs w:val="20"/>
          <w:lang w:eastAsia="en-US"/>
        </w:rPr>
      </w:pPr>
    </w:p>
    <w:p w:rsidR="006E4D11" w:rsidRPr="0007750C" w:rsidRDefault="006E4D11" w:rsidP="006E4D11">
      <w:pPr>
        <w:pStyle w:val="paragraph"/>
        <w:spacing w:before="0" w:beforeAutospacing="0" w:after="0" w:afterAutospacing="0" w:line="360" w:lineRule="auto"/>
        <w:jc w:val="both"/>
        <w:rPr>
          <w:rFonts w:ascii="Arial" w:eastAsiaTheme="minorHAnsi" w:hAnsi="Arial"/>
          <w:b/>
          <w:sz w:val="20"/>
        </w:rPr>
      </w:pPr>
      <w:r w:rsidRPr="0007750C">
        <w:rPr>
          <w:rFonts w:ascii="Arial" w:eastAsiaTheme="minorHAnsi" w:hAnsi="Arial"/>
          <w:b/>
          <w:sz w:val="20"/>
        </w:rPr>
        <w:t xml:space="preserve">Ważna argumentacja </w:t>
      </w:r>
    </w:p>
    <w:p w:rsidR="006E4D11" w:rsidRPr="006E4822" w:rsidRDefault="006E4D11" w:rsidP="006E4D11">
      <w:pPr>
        <w:pStyle w:val="paragraph"/>
        <w:spacing w:before="0" w:beforeAutospacing="0" w:after="0" w:afterAutospacing="0" w:line="360" w:lineRule="auto"/>
        <w:jc w:val="both"/>
        <w:rPr>
          <w:rFonts w:ascii="Arial" w:eastAsiaTheme="minorHAnsi" w:hAnsi="Arial" w:cs="Arial"/>
          <w:sz w:val="20"/>
          <w:szCs w:val="20"/>
          <w:lang w:eastAsia="en-US"/>
        </w:rPr>
      </w:pPr>
      <w:r>
        <w:rPr>
          <w:rFonts w:ascii="Arial" w:eastAsiaTheme="minorHAnsi" w:hAnsi="Arial" w:cs="Arial"/>
          <w:sz w:val="20"/>
          <w:szCs w:val="20"/>
          <w:lang w:eastAsia="en-US"/>
        </w:rPr>
        <w:t>Trudno</w:t>
      </w:r>
      <w:r w:rsidRPr="0007750C">
        <w:rPr>
          <w:rFonts w:ascii="Arial" w:eastAsiaTheme="minorHAnsi" w:hAnsi="Arial"/>
          <w:sz w:val="20"/>
        </w:rPr>
        <w:t xml:space="preserve"> jest dziś jednoznacznie wykluczyć, że owa torba nie będzie wykorzystywana także w</w:t>
      </w:r>
      <w:r>
        <w:rPr>
          <w:rFonts w:ascii="Arial" w:eastAsiaTheme="minorHAnsi" w:hAnsi="Arial" w:cs="Arial"/>
          <w:sz w:val="20"/>
          <w:szCs w:val="20"/>
          <w:lang w:eastAsia="en-US"/>
        </w:rPr>
        <w:t xml:space="preserve"> </w:t>
      </w:r>
      <w:r w:rsidRPr="0007750C">
        <w:rPr>
          <w:rFonts w:ascii="Arial" w:eastAsiaTheme="minorHAnsi" w:hAnsi="Arial"/>
          <w:sz w:val="20"/>
        </w:rPr>
        <w:t xml:space="preserve">celach prywatnych, </w:t>
      </w:r>
      <w:r w:rsidRPr="006E4822">
        <w:rPr>
          <w:rFonts w:ascii="Arial" w:eastAsiaTheme="minorHAnsi" w:hAnsi="Arial" w:cs="Arial"/>
          <w:sz w:val="20"/>
          <w:szCs w:val="20"/>
          <w:lang w:eastAsia="en-US"/>
        </w:rPr>
        <w:t>jednak</w:t>
      </w:r>
      <w:r w:rsidRPr="0007750C">
        <w:rPr>
          <w:rFonts w:ascii="Arial" w:eastAsiaTheme="minorHAnsi" w:hAnsi="Arial"/>
          <w:sz w:val="20"/>
        </w:rPr>
        <w:t xml:space="preserve"> pewnych toreb używa się głównie w celach biznesowych – skórzana aktówka jako przenośne biuro</w:t>
      </w:r>
      <w:r>
        <w:rPr>
          <w:rFonts w:ascii="Arial" w:eastAsiaTheme="minorHAnsi" w:hAnsi="Arial" w:cs="Arial"/>
          <w:sz w:val="20"/>
          <w:szCs w:val="20"/>
          <w:lang w:eastAsia="en-US"/>
        </w:rPr>
        <w:t>, w</w:t>
      </w:r>
      <w:r w:rsidRPr="006E4822">
        <w:rPr>
          <w:rFonts w:ascii="Arial" w:eastAsiaTheme="minorHAnsi" w:hAnsi="Arial" w:cs="Arial"/>
          <w:sz w:val="20"/>
          <w:szCs w:val="20"/>
          <w:lang w:eastAsia="en-US"/>
        </w:rPr>
        <w:t>alizka</w:t>
      </w:r>
      <w:r w:rsidRPr="0007750C">
        <w:rPr>
          <w:rFonts w:ascii="Arial" w:eastAsiaTheme="minorHAnsi" w:hAnsi="Arial"/>
          <w:sz w:val="20"/>
        </w:rPr>
        <w:t xml:space="preserve"> podróżna jako biuro na kółkach. </w:t>
      </w:r>
      <w:r>
        <w:rPr>
          <w:rFonts w:ascii="Arial" w:eastAsiaTheme="minorHAnsi" w:hAnsi="Arial" w:cs="Arial"/>
          <w:sz w:val="20"/>
          <w:szCs w:val="20"/>
          <w:lang w:eastAsia="en-US"/>
        </w:rPr>
        <w:t>Przecież</w:t>
      </w:r>
      <w:r w:rsidRPr="0007750C">
        <w:rPr>
          <w:rFonts w:ascii="Arial" w:eastAsiaTheme="minorHAnsi" w:hAnsi="Arial"/>
          <w:sz w:val="20"/>
        </w:rPr>
        <w:t xml:space="preserve"> od kilku lat naszą pracę wykonujemy również w formie hybrydowej, co wymaga przemieszczania się i przenoszenia dokumentacji. Jeśli jednak podatnik jest w</w:t>
      </w:r>
      <w:r>
        <w:rPr>
          <w:rFonts w:ascii="Arial" w:eastAsiaTheme="minorHAnsi" w:hAnsi="Arial" w:cs="Arial"/>
          <w:sz w:val="20"/>
          <w:szCs w:val="20"/>
          <w:lang w:eastAsia="en-US"/>
        </w:rPr>
        <w:t xml:space="preserve"> </w:t>
      </w:r>
      <w:r w:rsidRPr="0007750C">
        <w:rPr>
          <w:rFonts w:ascii="Arial" w:eastAsiaTheme="minorHAnsi" w:hAnsi="Arial"/>
          <w:sz w:val="20"/>
        </w:rPr>
        <w:t xml:space="preserve">stanie wykazać, że zakupiona torba służy wyłącznie celom służbowym, nie ma przeszkód, aby </w:t>
      </w:r>
      <w:r w:rsidRPr="006E4822">
        <w:rPr>
          <w:rFonts w:ascii="Arial" w:eastAsiaTheme="minorHAnsi" w:hAnsi="Arial" w:cs="Arial"/>
          <w:sz w:val="20"/>
          <w:szCs w:val="20"/>
          <w:lang w:eastAsia="en-US"/>
        </w:rPr>
        <w:t>rozliczy</w:t>
      </w:r>
      <w:r>
        <w:rPr>
          <w:rFonts w:ascii="Arial" w:eastAsiaTheme="minorHAnsi" w:hAnsi="Arial" w:cs="Arial"/>
          <w:sz w:val="20"/>
          <w:szCs w:val="20"/>
          <w:lang w:eastAsia="en-US"/>
        </w:rPr>
        <w:t>ć</w:t>
      </w:r>
      <w:r w:rsidRPr="0007750C">
        <w:rPr>
          <w:rFonts w:ascii="Arial" w:eastAsiaTheme="minorHAnsi" w:hAnsi="Arial"/>
          <w:sz w:val="20"/>
        </w:rPr>
        <w:t xml:space="preserve"> wydatek na jej zakup w</w:t>
      </w:r>
      <w:r>
        <w:rPr>
          <w:rFonts w:ascii="Arial" w:eastAsiaTheme="minorHAnsi" w:hAnsi="Arial" w:cs="Arial"/>
          <w:sz w:val="20"/>
          <w:szCs w:val="20"/>
          <w:lang w:eastAsia="en-US"/>
        </w:rPr>
        <w:t xml:space="preserve"> </w:t>
      </w:r>
      <w:r w:rsidRPr="0007750C">
        <w:rPr>
          <w:rFonts w:ascii="Arial" w:eastAsiaTheme="minorHAnsi" w:hAnsi="Arial"/>
          <w:sz w:val="20"/>
        </w:rPr>
        <w:t>kosztach uzyskania przychodów. Dla uprawdopodobnienia takiej okoliczności można umieścić na zakupionej teczce np.</w:t>
      </w:r>
      <w:r>
        <w:rPr>
          <w:rFonts w:ascii="Arial" w:eastAsiaTheme="minorHAnsi" w:hAnsi="Arial" w:cs="Arial"/>
          <w:sz w:val="20"/>
          <w:szCs w:val="20"/>
          <w:lang w:eastAsia="en-US"/>
        </w:rPr>
        <w:t xml:space="preserve"> </w:t>
      </w:r>
      <w:r w:rsidRPr="0007750C">
        <w:rPr>
          <w:rFonts w:ascii="Arial" w:eastAsiaTheme="minorHAnsi" w:hAnsi="Arial"/>
          <w:sz w:val="20"/>
        </w:rPr>
        <w:t>logo firmy</w:t>
      </w:r>
      <w:r>
        <w:rPr>
          <w:rFonts w:ascii="Arial" w:eastAsiaTheme="minorHAnsi" w:hAnsi="Arial" w:cs="Arial"/>
          <w:sz w:val="20"/>
          <w:szCs w:val="20"/>
          <w:lang w:eastAsia="en-US"/>
        </w:rPr>
        <w:t>, a t</w:t>
      </w:r>
      <w:r w:rsidRPr="006E4822">
        <w:rPr>
          <w:rFonts w:ascii="Arial" w:eastAsiaTheme="minorHAnsi" w:hAnsi="Arial" w:cs="Arial"/>
          <w:sz w:val="20"/>
          <w:szCs w:val="20"/>
          <w:lang w:eastAsia="en-US"/>
        </w:rPr>
        <w:t>o</w:t>
      </w:r>
      <w:r w:rsidRPr="0007750C">
        <w:rPr>
          <w:rFonts w:ascii="Arial" w:eastAsiaTheme="minorHAnsi" w:hAnsi="Arial"/>
          <w:sz w:val="20"/>
        </w:rPr>
        <w:t xml:space="preserve"> pozbawi ją cech przedmiotu osobistego. Tak organy podatkowe uważają w</w:t>
      </w:r>
      <w:r>
        <w:rPr>
          <w:rFonts w:ascii="Arial" w:eastAsiaTheme="minorHAnsi" w:hAnsi="Arial" w:cs="Arial"/>
          <w:sz w:val="20"/>
          <w:szCs w:val="20"/>
          <w:lang w:eastAsia="en-US"/>
        </w:rPr>
        <w:t xml:space="preserve"> </w:t>
      </w:r>
      <w:r w:rsidRPr="0007750C">
        <w:rPr>
          <w:rFonts w:ascii="Arial" w:eastAsiaTheme="minorHAnsi" w:hAnsi="Arial"/>
          <w:sz w:val="20"/>
        </w:rPr>
        <w:t>wypadku wydatków na zakup stroju biznesowego oznaczonego na stałe logo firmy, który ich zdaniem w</w:t>
      </w:r>
      <w:r>
        <w:rPr>
          <w:rFonts w:ascii="Arial" w:eastAsiaTheme="minorHAnsi" w:hAnsi="Arial" w:cs="Arial"/>
          <w:sz w:val="20"/>
          <w:szCs w:val="20"/>
          <w:lang w:eastAsia="en-US"/>
        </w:rPr>
        <w:t xml:space="preserve"> </w:t>
      </w:r>
      <w:r w:rsidRPr="0007750C">
        <w:rPr>
          <w:rFonts w:ascii="Arial" w:eastAsiaTheme="minorHAnsi" w:hAnsi="Arial"/>
          <w:sz w:val="20"/>
        </w:rPr>
        <w:t xml:space="preserve">takiej sytuacji pełni funkcję reklamową. Poza tym prowadzenie dziś biznesu bez laptopa, przenośnego sprzętu do nagrywania itp. </w:t>
      </w:r>
      <w:r w:rsidRPr="006E4822">
        <w:rPr>
          <w:rFonts w:ascii="Arial" w:eastAsiaTheme="minorHAnsi" w:hAnsi="Arial" w:cs="Arial"/>
          <w:sz w:val="20"/>
          <w:szCs w:val="20"/>
          <w:lang w:eastAsia="en-US"/>
        </w:rPr>
        <w:t xml:space="preserve">często </w:t>
      </w:r>
      <w:r w:rsidRPr="0007750C">
        <w:rPr>
          <w:rFonts w:ascii="Arial" w:eastAsiaTheme="minorHAnsi" w:hAnsi="Arial"/>
          <w:sz w:val="20"/>
        </w:rPr>
        <w:t>nie jest możliwe. Warto przemyśleć te argumenty.</w:t>
      </w:r>
    </w:p>
    <w:p w:rsidR="006E4D11" w:rsidRPr="0007750C" w:rsidRDefault="006E4D11" w:rsidP="006E4D11">
      <w:pPr>
        <w:pStyle w:val="paragraph"/>
        <w:spacing w:before="0" w:beforeAutospacing="0" w:after="0" w:afterAutospacing="0" w:line="360" w:lineRule="auto"/>
        <w:jc w:val="both"/>
        <w:rPr>
          <w:rFonts w:ascii="Arial" w:eastAsiaTheme="minorHAnsi" w:hAnsi="Arial"/>
          <w:b/>
          <w:sz w:val="20"/>
        </w:rPr>
      </w:pPr>
    </w:p>
    <w:p w:rsidR="006E4D11" w:rsidRPr="0007750C" w:rsidRDefault="009E7440" w:rsidP="006E4D11">
      <w:pPr>
        <w:pStyle w:val="paragraph"/>
        <w:spacing w:before="0" w:beforeAutospacing="0" w:after="0" w:afterAutospacing="0" w:line="360" w:lineRule="auto"/>
        <w:jc w:val="both"/>
        <w:rPr>
          <w:rFonts w:ascii="Arial" w:eastAsiaTheme="minorHAnsi" w:hAnsi="Arial"/>
          <w:b/>
          <w:sz w:val="20"/>
        </w:rPr>
      </w:pPr>
      <w:r>
        <w:rPr>
          <w:rFonts w:ascii="Arial" w:eastAsiaTheme="minorHAnsi" w:hAnsi="Arial"/>
          <w:b/>
          <w:sz w:val="20"/>
        </w:rPr>
        <w:t>Galanteria skórzana jako rekwizyt s</w:t>
      </w:r>
      <w:r w:rsidR="006E4D11" w:rsidRPr="0007750C">
        <w:rPr>
          <w:rFonts w:ascii="Arial" w:eastAsiaTheme="minorHAnsi" w:hAnsi="Arial"/>
          <w:b/>
          <w:sz w:val="20"/>
        </w:rPr>
        <w:t>esj</w:t>
      </w:r>
      <w:r>
        <w:rPr>
          <w:rFonts w:ascii="Arial" w:eastAsiaTheme="minorHAnsi" w:hAnsi="Arial"/>
          <w:b/>
          <w:sz w:val="20"/>
        </w:rPr>
        <w:t>i</w:t>
      </w:r>
      <w:r w:rsidR="006E4D11" w:rsidRPr="0007750C">
        <w:rPr>
          <w:rFonts w:ascii="Arial" w:eastAsiaTheme="minorHAnsi" w:hAnsi="Arial"/>
          <w:b/>
          <w:sz w:val="20"/>
        </w:rPr>
        <w:t xml:space="preserve"> zdjęciow</w:t>
      </w:r>
      <w:r>
        <w:rPr>
          <w:rFonts w:ascii="Arial" w:eastAsiaTheme="minorHAnsi" w:hAnsi="Arial"/>
          <w:b/>
          <w:sz w:val="20"/>
        </w:rPr>
        <w:t>ych</w:t>
      </w:r>
      <w:r w:rsidR="006E4D11" w:rsidRPr="0007750C">
        <w:rPr>
          <w:rFonts w:ascii="Arial" w:eastAsiaTheme="minorHAnsi" w:hAnsi="Arial"/>
          <w:b/>
          <w:sz w:val="20"/>
        </w:rPr>
        <w:t>, film</w:t>
      </w:r>
      <w:r>
        <w:rPr>
          <w:rFonts w:ascii="Arial" w:eastAsiaTheme="minorHAnsi" w:hAnsi="Arial"/>
          <w:b/>
          <w:sz w:val="20"/>
        </w:rPr>
        <w:t>ów</w:t>
      </w:r>
      <w:bookmarkStart w:id="0" w:name="_GoBack"/>
      <w:bookmarkEnd w:id="0"/>
      <w:r w:rsidR="006E4D11" w:rsidRPr="0007750C">
        <w:rPr>
          <w:rFonts w:ascii="Arial" w:eastAsiaTheme="minorHAnsi" w:hAnsi="Arial"/>
          <w:b/>
          <w:sz w:val="20"/>
        </w:rPr>
        <w:t xml:space="preserve"> w ramach kampanii marketingowej </w:t>
      </w:r>
    </w:p>
    <w:p w:rsidR="006E4D11" w:rsidRPr="0007750C" w:rsidRDefault="006E4D11" w:rsidP="006E4D11">
      <w:pPr>
        <w:pStyle w:val="paragraph"/>
        <w:spacing w:before="0" w:beforeAutospacing="0" w:after="0" w:afterAutospacing="0" w:line="360" w:lineRule="auto"/>
        <w:jc w:val="both"/>
        <w:rPr>
          <w:rFonts w:ascii="Arial" w:hAnsi="Arial"/>
          <w:b/>
          <w:color w:val="FF0000"/>
          <w:sz w:val="20"/>
        </w:rPr>
      </w:pPr>
      <w:r w:rsidRPr="0007750C">
        <w:rPr>
          <w:rFonts w:ascii="Arial" w:eastAsiaTheme="minorHAnsi" w:hAnsi="Arial"/>
          <w:sz w:val="20"/>
        </w:rPr>
        <w:t xml:space="preserve">Każdy zakup może zostać użyty jako rekwizyt szkoleniowy, do sesji wizerunkowej lub jako gadżet niezbędny do </w:t>
      </w:r>
      <w:r>
        <w:rPr>
          <w:rFonts w:ascii="Arial" w:eastAsiaTheme="minorHAnsi" w:hAnsi="Arial" w:cs="Arial"/>
          <w:sz w:val="20"/>
          <w:szCs w:val="20"/>
          <w:lang w:eastAsia="en-US"/>
        </w:rPr>
        <w:t xml:space="preserve">stworzenia </w:t>
      </w:r>
      <w:r w:rsidRPr="0007750C">
        <w:rPr>
          <w:rFonts w:ascii="Arial" w:eastAsiaTheme="minorHAnsi" w:hAnsi="Arial"/>
          <w:sz w:val="20"/>
        </w:rPr>
        <w:t xml:space="preserve">wizerunku podczas nagrywania filmu reklamowego lub do mediów społecznościowych. </w:t>
      </w:r>
    </w:p>
    <w:p w:rsidR="006E4D11" w:rsidRDefault="006E4D11" w:rsidP="006E4D11">
      <w:pPr>
        <w:pStyle w:val="paragraph"/>
        <w:spacing w:before="0" w:beforeAutospacing="0" w:after="0" w:afterAutospacing="0" w:line="360" w:lineRule="auto"/>
        <w:jc w:val="both"/>
        <w:rPr>
          <w:rFonts w:ascii="Arial" w:hAnsi="Arial" w:cs="Arial"/>
          <w:b/>
          <w:sz w:val="20"/>
          <w:szCs w:val="20"/>
        </w:rPr>
      </w:pPr>
    </w:p>
    <w:p w:rsidR="006E4D11" w:rsidRPr="0007750C" w:rsidRDefault="006E4D11" w:rsidP="006E4D11">
      <w:pPr>
        <w:pStyle w:val="paragraph"/>
        <w:spacing w:before="0" w:beforeAutospacing="0" w:after="0" w:afterAutospacing="0" w:line="360" w:lineRule="auto"/>
        <w:jc w:val="both"/>
        <w:rPr>
          <w:rFonts w:ascii="Arial" w:hAnsi="Arial"/>
          <w:b/>
          <w:sz w:val="20"/>
        </w:rPr>
      </w:pPr>
      <w:r w:rsidRPr="0007750C">
        <w:rPr>
          <w:rFonts w:ascii="Arial" w:hAnsi="Arial"/>
          <w:b/>
          <w:sz w:val="20"/>
        </w:rPr>
        <w:t>Podstawa prawna</w:t>
      </w:r>
    </w:p>
    <w:p w:rsidR="006E4D11" w:rsidRPr="006E4822" w:rsidRDefault="006E4D11" w:rsidP="006E4D11">
      <w:pPr>
        <w:pStyle w:val="paragraph"/>
        <w:numPr>
          <w:ilvl w:val="0"/>
          <w:numId w:val="44"/>
        </w:numPr>
        <w:spacing w:before="0" w:beforeAutospacing="0" w:after="0" w:afterAutospacing="0" w:line="360" w:lineRule="auto"/>
        <w:ind w:left="284" w:hanging="284"/>
        <w:jc w:val="both"/>
        <w:rPr>
          <w:rFonts w:ascii="Arial" w:eastAsiaTheme="minorHAnsi" w:hAnsi="Arial" w:cs="Arial"/>
          <w:sz w:val="20"/>
          <w:szCs w:val="20"/>
          <w:lang w:eastAsia="en-US"/>
        </w:rPr>
      </w:pPr>
      <w:r w:rsidRPr="0007750C">
        <w:rPr>
          <w:rFonts w:ascii="Arial" w:eastAsiaTheme="minorHAnsi" w:hAnsi="Arial"/>
          <w:sz w:val="20"/>
        </w:rPr>
        <w:t>Interpretacja indywidualna Dyrektora Krajowej Informacji Skarbowej z</w:t>
      </w:r>
      <w:r>
        <w:rPr>
          <w:rFonts w:ascii="Arial" w:eastAsiaTheme="minorHAnsi" w:hAnsi="Arial" w:cs="Arial"/>
          <w:sz w:val="20"/>
          <w:szCs w:val="20"/>
          <w:lang w:eastAsia="en-US"/>
        </w:rPr>
        <w:t xml:space="preserve"> </w:t>
      </w:r>
      <w:r w:rsidRPr="0007750C">
        <w:rPr>
          <w:rFonts w:ascii="Arial" w:eastAsiaTheme="minorHAnsi" w:hAnsi="Arial"/>
          <w:sz w:val="20"/>
        </w:rPr>
        <w:t>dnia 18 września 2017</w:t>
      </w:r>
      <w:r>
        <w:rPr>
          <w:rFonts w:ascii="Arial" w:eastAsiaTheme="minorHAnsi" w:hAnsi="Arial" w:cs="Arial"/>
          <w:sz w:val="20"/>
          <w:szCs w:val="20"/>
          <w:lang w:eastAsia="en-US"/>
        </w:rPr>
        <w:t xml:space="preserve"> </w:t>
      </w:r>
      <w:r w:rsidRPr="0007750C">
        <w:rPr>
          <w:rFonts w:ascii="Arial" w:eastAsiaTheme="minorHAnsi" w:hAnsi="Arial"/>
          <w:sz w:val="20"/>
        </w:rPr>
        <w:t>r.,</w:t>
      </w:r>
      <w:r>
        <w:rPr>
          <w:rFonts w:ascii="Arial" w:eastAsiaTheme="minorHAnsi" w:hAnsi="Arial" w:cs="Arial"/>
          <w:sz w:val="20"/>
          <w:szCs w:val="20"/>
          <w:lang w:eastAsia="en-US"/>
        </w:rPr>
        <w:t xml:space="preserve"> </w:t>
      </w:r>
      <w:r>
        <w:rPr>
          <w:rFonts w:ascii="Arial" w:hAnsi="Arial"/>
          <w:sz w:val="20"/>
        </w:rPr>
        <w:t xml:space="preserve">znak: </w:t>
      </w:r>
      <w:r w:rsidRPr="0007750C">
        <w:rPr>
          <w:rFonts w:ascii="Arial" w:eastAsiaTheme="minorHAnsi" w:hAnsi="Arial"/>
          <w:sz w:val="20"/>
        </w:rPr>
        <w:t>0114-KDIP3-1.4011.235.2017.2.IF.</w:t>
      </w:r>
    </w:p>
    <w:p w:rsidR="00D90910" w:rsidRDefault="009E7440"/>
    <w:sectPr w:rsidR="00D909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C00EB"/>
    <w:multiLevelType w:val="multilevel"/>
    <w:tmpl w:val="DDF2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30211"/>
    <w:multiLevelType w:val="hybridMultilevel"/>
    <w:tmpl w:val="35BE24BA"/>
    <w:lvl w:ilvl="0" w:tplc="70D2A258">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516FB8"/>
    <w:multiLevelType w:val="hybridMultilevel"/>
    <w:tmpl w:val="5B6E21E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5D3137"/>
    <w:multiLevelType w:val="hybridMultilevel"/>
    <w:tmpl w:val="99025E1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8A7159"/>
    <w:multiLevelType w:val="hybridMultilevel"/>
    <w:tmpl w:val="37E0E908"/>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AF5C71"/>
    <w:multiLevelType w:val="hybridMultilevel"/>
    <w:tmpl w:val="33B050E0"/>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CB6B53"/>
    <w:multiLevelType w:val="hybridMultilevel"/>
    <w:tmpl w:val="5CC09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3830C6"/>
    <w:multiLevelType w:val="hybridMultilevel"/>
    <w:tmpl w:val="BFE2D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CD0D70"/>
    <w:multiLevelType w:val="hybridMultilevel"/>
    <w:tmpl w:val="811EC176"/>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2A70FB"/>
    <w:multiLevelType w:val="hybridMultilevel"/>
    <w:tmpl w:val="3FD42938"/>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360D1E"/>
    <w:multiLevelType w:val="hybridMultilevel"/>
    <w:tmpl w:val="D92AA584"/>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9B0264"/>
    <w:multiLevelType w:val="multilevel"/>
    <w:tmpl w:val="B4A2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231B0"/>
    <w:multiLevelType w:val="hybridMultilevel"/>
    <w:tmpl w:val="C58ADB7A"/>
    <w:lvl w:ilvl="0" w:tplc="24AC50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D5692F"/>
    <w:multiLevelType w:val="hybridMultilevel"/>
    <w:tmpl w:val="EB90B54C"/>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810DD9"/>
    <w:multiLevelType w:val="hybridMultilevel"/>
    <w:tmpl w:val="D19E45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9801CA"/>
    <w:multiLevelType w:val="hybridMultilevel"/>
    <w:tmpl w:val="B8F40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347565"/>
    <w:multiLevelType w:val="hybridMultilevel"/>
    <w:tmpl w:val="CD6094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F82AC9"/>
    <w:multiLevelType w:val="hybridMultilevel"/>
    <w:tmpl w:val="1604F41E"/>
    <w:lvl w:ilvl="0" w:tplc="D228C1B6">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D24D94"/>
    <w:multiLevelType w:val="hybridMultilevel"/>
    <w:tmpl w:val="EC08A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044AF5"/>
    <w:multiLevelType w:val="hybridMultilevel"/>
    <w:tmpl w:val="9A32FADC"/>
    <w:lvl w:ilvl="0" w:tplc="78F85D0E">
      <w:start w:val="1"/>
      <w:numFmt w:val="decimal"/>
      <w:lvlText w:val="%1."/>
      <w:lvlJc w:val="left"/>
      <w:pPr>
        <w:ind w:left="720" w:hanging="360"/>
      </w:pPr>
      <w:rPr>
        <w:rFonts w:hint="default"/>
        <w:b w:val="0"/>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C086C34"/>
    <w:multiLevelType w:val="multilevel"/>
    <w:tmpl w:val="A0B2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3807FF"/>
    <w:multiLevelType w:val="hybridMultilevel"/>
    <w:tmpl w:val="FA6A4622"/>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0EF7046"/>
    <w:multiLevelType w:val="hybridMultilevel"/>
    <w:tmpl w:val="5A02970A"/>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82F2B15"/>
    <w:multiLevelType w:val="hybridMultilevel"/>
    <w:tmpl w:val="F1C6B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924CF1"/>
    <w:multiLevelType w:val="hybridMultilevel"/>
    <w:tmpl w:val="8542BFB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FB7A6B"/>
    <w:multiLevelType w:val="hybridMultilevel"/>
    <w:tmpl w:val="815C30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3E0DD8"/>
    <w:multiLevelType w:val="multilevel"/>
    <w:tmpl w:val="B716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E4344F"/>
    <w:multiLevelType w:val="hybridMultilevel"/>
    <w:tmpl w:val="FC7EF910"/>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8E35A9"/>
    <w:multiLevelType w:val="hybridMultilevel"/>
    <w:tmpl w:val="8ACE8C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3A95DF6"/>
    <w:multiLevelType w:val="hybridMultilevel"/>
    <w:tmpl w:val="FF5E6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FC622A"/>
    <w:multiLevelType w:val="multilevel"/>
    <w:tmpl w:val="4454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3E519F"/>
    <w:multiLevelType w:val="multilevel"/>
    <w:tmpl w:val="EA963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58E1981"/>
    <w:multiLevelType w:val="multilevel"/>
    <w:tmpl w:val="24E24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596C29"/>
    <w:multiLevelType w:val="hybridMultilevel"/>
    <w:tmpl w:val="626890F4"/>
    <w:lvl w:ilvl="0" w:tplc="6C462B1C">
      <w:start w:val="1"/>
      <w:numFmt w:val="decimal"/>
      <w:lvlText w:val="%1."/>
      <w:lvlJc w:val="left"/>
      <w:pPr>
        <w:ind w:left="720" w:hanging="360"/>
      </w:pPr>
      <w:rPr>
        <w:rFonts w:hint="default"/>
        <w:i w:val="0"/>
        <w:i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AAB4107"/>
    <w:multiLevelType w:val="hybridMultilevel"/>
    <w:tmpl w:val="C2083334"/>
    <w:lvl w:ilvl="0" w:tplc="D770786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AD5459"/>
    <w:multiLevelType w:val="hybridMultilevel"/>
    <w:tmpl w:val="4246D562"/>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7F22421"/>
    <w:multiLevelType w:val="hybridMultilevel"/>
    <w:tmpl w:val="88C0D744"/>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A7B7C84"/>
    <w:multiLevelType w:val="hybridMultilevel"/>
    <w:tmpl w:val="3FB4398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556C0D"/>
    <w:multiLevelType w:val="hybridMultilevel"/>
    <w:tmpl w:val="1F8CC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477DE8"/>
    <w:multiLevelType w:val="hybridMultilevel"/>
    <w:tmpl w:val="FAA427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B3472BF"/>
    <w:multiLevelType w:val="hybridMultilevel"/>
    <w:tmpl w:val="900E025C"/>
    <w:lvl w:ilvl="0" w:tplc="C4941AA2">
      <w:start w:val="11"/>
      <w:numFmt w:val="decimal"/>
      <w:lvlText w:val="%1."/>
      <w:lvlJc w:val="left"/>
      <w:pPr>
        <w:ind w:left="786"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A46D00"/>
    <w:multiLevelType w:val="hybridMultilevel"/>
    <w:tmpl w:val="EFAEA8F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3490D71"/>
    <w:multiLevelType w:val="hybridMultilevel"/>
    <w:tmpl w:val="B512E294"/>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90340D"/>
    <w:multiLevelType w:val="multilevel"/>
    <w:tmpl w:val="0BFC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DA500F"/>
    <w:multiLevelType w:val="hybridMultilevel"/>
    <w:tmpl w:val="277E5A0E"/>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D0C7B67"/>
    <w:multiLevelType w:val="hybridMultilevel"/>
    <w:tmpl w:val="FEA255F2"/>
    <w:lvl w:ilvl="0" w:tplc="D156505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ED44E3D"/>
    <w:multiLevelType w:val="hybridMultilevel"/>
    <w:tmpl w:val="A402894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12"/>
  </w:num>
  <w:num w:numId="4">
    <w:abstractNumId w:val="14"/>
  </w:num>
  <w:num w:numId="5">
    <w:abstractNumId w:val="3"/>
  </w:num>
  <w:num w:numId="6">
    <w:abstractNumId w:val="37"/>
  </w:num>
  <w:num w:numId="7">
    <w:abstractNumId w:val="42"/>
  </w:num>
  <w:num w:numId="8">
    <w:abstractNumId w:val="31"/>
  </w:num>
  <w:num w:numId="9">
    <w:abstractNumId w:val="36"/>
  </w:num>
  <w:num w:numId="10">
    <w:abstractNumId w:val="35"/>
  </w:num>
  <w:num w:numId="11">
    <w:abstractNumId w:val="17"/>
  </w:num>
  <w:num w:numId="12">
    <w:abstractNumId w:val="40"/>
  </w:num>
  <w:num w:numId="13">
    <w:abstractNumId w:val="27"/>
  </w:num>
  <w:num w:numId="14">
    <w:abstractNumId w:val="16"/>
  </w:num>
  <w:num w:numId="15">
    <w:abstractNumId w:val="2"/>
  </w:num>
  <w:num w:numId="16">
    <w:abstractNumId w:val="46"/>
  </w:num>
  <w:num w:numId="17">
    <w:abstractNumId w:val="20"/>
  </w:num>
  <w:num w:numId="18">
    <w:abstractNumId w:val="32"/>
  </w:num>
  <w:num w:numId="19">
    <w:abstractNumId w:val="11"/>
  </w:num>
  <w:num w:numId="20">
    <w:abstractNumId w:val="43"/>
  </w:num>
  <w:num w:numId="21">
    <w:abstractNumId w:val="0"/>
  </w:num>
  <w:num w:numId="22">
    <w:abstractNumId w:val="26"/>
  </w:num>
  <w:num w:numId="23">
    <w:abstractNumId w:val="30"/>
  </w:num>
  <w:num w:numId="24">
    <w:abstractNumId w:val="6"/>
  </w:num>
  <w:num w:numId="25">
    <w:abstractNumId w:val="28"/>
  </w:num>
  <w:num w:numId="26">
    <w:abstractNumId w:val="15"/>
  </w:num>
  <w:num w:numId="27">
    <w:abstractNumId w:val="39"/>
  </w:num>
  <w:num w:numId="28">
    <w:abstractNumId w:val="38"/>
  </w:num>
  <w:num w:numId="29">
    <w:abstractNumId w:val="45"/>
  </w:num>
  <w:num w:numId="30">
    <w:abstractNumId w:val="21"/>
  </w:num>
  <w:num w:numId="31">
    <w:abstractNumId w:val="4"/>
  </w:num>
  <w:num w:numId="32">
    <w:abstractNumId w:val="33"/>
  </w:num>
  <w:num w:numId="33">
    <w:abstractNumId w:val="24"/>
  </w:num>
  <w:num w:numId="34">
    <w:abstractNumId w:val="9"/>
  </w:num>
  <w:num w:numId="35">
    <w:abstractNumId w:val="13"/>
  </w:num>
  <w:num w:numId="36">
    <w:abstractNumId w:val="44"/>
  </w:num>
  <w:num w:numId="37">
    <w:abstractNumId w:val="8"/>
  </w:num>
  <w:num w:numId="38">
    <w:abstractNumId w:val="25"/>
  </w:num>
  <w:num w:numId="39">
    <w:abstractNumId w:val="10"/>
  </w:num>
  <w:num w:numId="40">
    <w:abstractNumId w:val="5"/>
  </w:num>
  <w:num w:numId="41">
    <w:abstractNumId w:val="29"/>
  </w:num>
  <w:num w:numId="42">
    <w:abstractNumId w:val="23"/>
  </w:num>
  <w:num w:numId="43">
    <w:abstractNumId w:val="18"/>
  </w:num>
  <w:num w:numId="44">
    <w:abstractNumId w:val="7"/>
  </w:num>
  <w:num w:numId="45">
    <w:abstractNumId w:val="19"/>
  </w:num>
  <w:num w:numId="46">
    <w:abstractNumId w:val="22"/>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22B"/>
    <w:rsid w:val="000D1C75"/>
    <w:rsid w:val="00145EA7"/>
    <w:rsid w:val="00176F9F"/>
    <w:rsid w:val="00190339"/>
    <w:rsid w:val="0024722B"/>
    <w:rsid w:val="0037762B"/>
    <w:rsid w:val="00386D4D"/>
    <w:rsid w:val="003A5C16"/>
    <w:rsid w:val="0040026E"/>
    <w:rsid w:val="005C5832"/>
    <w:rsid w:val="005E22D0"/>
    <w:rsid w:val="00625083"/>
    <w:rsid w:val="006E4D11"/>
    <w:rsid w:val="006E704B"/>
    <w:rsid w:val="00737668"/>
    <w:rsid w:val="00737B47"/>
    <w:rsid w:val="00767729"/>
    <w:rsid w:val="009E7440"/>
    <w:rsid w:val="00AB0A99"/>
    <w:rsid w:val="00B164D6"/>
    <w:rsid w:val="00BD6789"/>
    <w:rsid w:val="00C84BAB"/>
    <w:rsid w:val="00CA491D"/>
    <w:rsid w:val="00D97F5D"/>
    <w:rsid w:val="00E54E28"/>
    <w:rsid w:val="00ED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80461"/>
  <w15:chartTrackingRefBased/>
  <w15:docId w15:val="{0AE83892-2AEE-413C-A798-C80A70E2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A491D"/>
  </w:style>
  <w:style w:type="paragraph" w:styleId="Nagwek1">
    <w:name w:val="heading 1"/>
    <w:basedOn w:val="Normalny"/>
    <w:next w:val="Normalny"/>
    <w:link w:val="Nagwek1Znak"/>
    <w:uiPriority w:val="9"/>
    <w:qFormat/>
    <w:rsid w:val="006E70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E70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E704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24722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Numerowanie,List Paragraph"/>
    <w:basedOn w:val="Normalny"/>
    <w:link w:val="AkapitzlistZnak"/>
    <w:uiPriority w:val="34"/>
    <w:qFormat/>
    <w:rsid w:val="00ED3F07"/>
    <w:pPr>
      <w:ind w:left="720"/>
      <w:contextualSpacing/>
    </w:pPr>
  </w:style>
  <w:style w:type="character" w:customStyle="1" w:styleId="AkapitzlistZnak">
    <w:name w:val="Akapit z listą Znak"/>
    <w:aliases w:val="Numerowanie Znak,List Paragraph Znak"/>
    <w:basedOn w:val="Domylnaczcionkaakapitu"/>
    <w:link w:val="Akapitzlist"/>
    <w:uiPriority w:val="34"/>
    <w:locked/>
    <w:rsid w:val="00ED3F07"/>
  </w:style>
  <w:style w:type="character" w:customStyle="1" w:styleId="Nagwek1Znak">
    <w:name w:val="Nagłówek 1 Znak"/>
    <w:basedOn w:val="Domylnaczcionkaakapitu"/>
    <w:link w:val="Nagwek1"/>
    <w:uiPriority w:val="9"/>
    <w:rsid w:val="006E704B"/>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6E704B"/>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6E704B"/>
    <w:rPr>
      <w:rFonts w:asciiTheme="majorHAnsi" w:eastAsiaTheme="majorEastAsia" w:hAnsiTheme="majorHAnsi" w:cstheme="majorBidi"/>
      <w:color w:val="1F3763" w:themeColor="accent1" w:themeShade="7F"/>
      <w:sz w:val="24"/>
      <w:szCs w:val="24"/>
    </w:rPr>
  </w:style>
  <w:style w:type="character" w:customStyle="1" w:styleId="hgkelc">
    <w:name w:val="hgkelc"/>
    <w:basedOn w:val="Domylnaczcionkaakapitu"/>
    <w:rsid w:val="006E704B"/>
  </w:style>
  <w:style w:type="character" w:customStyle="1" w:styleId="content-title-element-block">
    <w:name w:val="content-title-element-block"/>
    <w:basedOn w:val="Domylnaczcionkaakapitu"/>
    <w:rsid w:val="006E704B"/>
  </w:style>
  <w:style w:type="character" w:customStyle="1" w:styleId="verd">
    <w:name w:val="verd"/>
    <w:basedOn w:val="Domylnaczcionkaakapitu"/>
    <w:rsid w:val="006E704B"/>
  </w:style>
  <w:style w:type="character" w:styleId="Pogrubienie">
    <w:name w:val="Strong"/>
    <w:basedOn w:val="Domylnaczcionkaakapitu"/>
    <w:uiPriority w:val="22"/>
    <w:qFormat/>
    <w:rsid w:val="006E704B"/>
    <w:rPr>
      <w:b/>
      <w:bCs/>
    </w:rPr>
  </w:style>
  <w:style w:type="character" w:styleId="Uwydatnienie">
    <w:name w:val="Emphasis"/>
    <w:basedOn w:val="Domylnaczcionkaakapitu"/>
    <w:uiPriority w:val="20"/>
    <w:qFormat/>
    <w:rsid w:val="006E704B"/>
    <w:rPr>
      <w:i/>
      <w:iCs/>
    </w:rPr>
  </w:style>
  <w:style w:type="character" w:styleId="Hipercze">
    <w:name w:val="Hyperlink"/>
    <w:basedOn w:val="Domylnaczcionkaakapitu"/>
    <w:uiPriority w:val="99"/>
    <w:unhideWhenUsed/>
    <w:rsid w:val="006E704B"/>
    <w:rPr>
      <w:color w:val="0000FF"/>
      <w:u w:val="single"/>
    </w:rPr>
  </w:style>
  <w:style w:type="character" w:customStyle="1" w:styleId="x193iq5w">
    <w:name w:val="x193iq5w"/>
    <w:basedOn w:val="Domylnaczcionkaakapitu"/>
    <w:rsid w:val="006E704B"/>
  </w:style>
  <w:style w:type="paragraph" w:customStyle="1" w:styleId="paragraph">
    <w:name w:val="paragraph"/>
    <w:basedOn w:val="Normalny"/>
    <w:rsid w:val="006E704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6E704B"/>
    <w:pPr>
      <w:spacing w:after="0" w:line="240" w:lineRule="auto"/>
    </w:pPr>
  </w:style>
  <w:style w:type="paragraph" w:styleId="Tekstdymka">
    <w:name w:val="Balloon Text"/>
    <w:basedOn w:val="Normalny"/>
    <w:link w:val="TekstdymkaZnak"/>
    <w:uiPriority w:val="99"/>
    <w:semiHidden/>
    <w:unhideWhenUsed/>
    <w:rsid w:val="006E704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70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457</Words>
  <Characters>2746</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Forum Media Polska</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Bojszczak Ewelina</dc:creator>
  <cp:keywords/>
  <dc:description/>
  <cp:lastModifiedBy>Fiedorow Marlena</cp:lastModifiedBy>
  <cp:revision>3</cp:revision>
  <dcterms:created xsi:type="dcterms:W3CDTF">2024-08-02T11:49:00Z</dcterms:created>
  <dcterms:modified xsi:type="dcterms:W3CDTF">2024-08-07T09:21:00Z</dcterms:modified>
</cp:coreProperties>
</file>